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4" w:rsidRDefault="001E13B3" w:rsidP="001E13B3">
      <w:pPr>
        <w:spacing w:after="120"/>
        <w:jc w:val="center"/>
        <w:rPr>
          <w:b/>
        </w:rPr>
      </w:pPr>
      <w:r>
        <w:rPr>
          <w:b/>
        </w:rPr>
        <w:t>“Believing In God” vs. “Believing God”?</w:t>
      </w:r>
    </w:p>
    <w:p w:rsidR="001E13B3" w:rsidRDefault="001E13B3" w:rsidP="001E13B3">
      <w:pPr>
        <w:spacing w:after="120"/>
      </w:pPr>
      <w:r>
        <w:t>The difference between “believing in God” and “believing God” is significant.  Here’s why.</w:t>
      </w:r>
      <w:r w:rsidR="0050359F">
        <w:t xml:space="preserve">  </w:t>
      </w:r>
      <w:r>
        <w:t xml:space="preserve">“Believing in God” means that one is convinced of His existence- that God is real and extant rather than a mere myth or legend.  While this is certainly commendable, especially today when there is such a cacophony of dissenting views, it is only a first step.  Alone, this conviction doesn’t really get you anywhere.  In </w:t>
      </w:r>
      <w:r>
        <w:rPr>
          <w:u w:val="single"/>
        </w:rPr>
        <w:t>Rom.1</w:t>
      </w:r>
      <w:proofErr w:type="gramStart"/>
      <w:r>
        <w:rPr>
          <w:u w:val="single"/>
        </w:rPr>
        <w:t>:21</w:t>
      </w:r>
      <w:proofErr w:type="gramEnd"/>
      <w:r>
        <w:t xml:space="preserve">, those who </w:t>
      </w:r>
      <w:r>
        <w:rPr>
          <w:i/>
        </w:rPr>
        <w:t xml:space="preserve">“knew God” </w:t>
      </w:r>
      <w:r>
        <w:t xml:space="preserve">still did </w:t>
      </w:r>
      <w:r>
        <w:rPr>
          <w:i/>
        </w:rPr>
        <w:t xml:space="preserve">“not honor Him as God, or give thanks; but they became futile in their speculations, and their foolish heart was darkened.”   </w:t>
      </w:r>
      <w:r>
        <w:t xml:space="preserve">This led to ‘down a rabbit hole’ to a litany of other despicable conclusions and depravity, </w:t>
      </w:r>
      <w:r>
        <w:rPr>
          <w:u w:val="single"/>
        </w:rPr>
        <w:t>cf. Rom.1</w:t>
      </w:r>
      <w:proofErr w:type="gramStart"/>
      <w:r>
        <w:rPr>
          <w:u w:val="single"/>
        </w:rPr>
        <w:t>:22</w:t>
      </w:r>
      <w:proofErr w:type="gramEnd"/>
      <w:r>
        <w:rPr>
          <w:u w:val="single"/>
        </w:rPr>
        <w:t>-32</w:t>
      </w:r>
      <w:r>
        <w:t xml:space="preserve">.  </w:t>
      </w:r>
      <w:r w:rsidR="00614F3A">
        <w:t xml:space="preserve">The conviction that “God is” must thus be further supplemented with additional information.  </w:t>
      </w:r>
    </w:p>
    <w:p w:rsidR="00614F3A" w:rsidRDefault="00614F3A" w:rsidP="001E13B3">
      <w:pPr>
        <w:spacing w:after="120"/>
      </w:pPr>
      <w:r>
        <w:t xml:space="preserve">Being convinced that “God exists” needs to logically progress to “What does God expect/require of me?” to produce productive faith.  Through observance of </w:t>
      </w:r>
      <w:r>
        <w:rPr>
          <w:i/>
        </w:rPr>
        <w:t xml:space="preserve">“the creation”- </w:t>
      </w:r>
      <w:r>
        <w:t xml:space="preserve">including but not limited to ourselves, one can discern the </w:t>
      </w:r>
      <w:r>
        <w:rPr>
          <w:i/>
        </w:rPr>
        <w:t xml:space="preserve">“eternal power” </w:t>
      </w:r>
      <w:r>
        <w:t xml:space="preserve">and </w:t>
      </w:r>
      <w:r>
        <w:rPr>
          <w:i/>
        </w:rPr>
        <w:t xml:space="preserve">“divine nature” </w:t>
      </w:r>
      <w:r>
        <w:t>of God (</w:t>
      </w:r>
      <w:r>
        <w:rPr>
          <w:u w:val="single"/>
        </w:rPr>
        <w:t>Rom.1</w:t>
      </w:r>
      <w:proofErr w:type="gramStart"/>
      <w:r>
        <w:rPr>
          <w:u w:val="single"/>
        </w:rPr>
        <w:t>:29</w:t>
      </w:r>
      <w:proofErr w:type="gramEnd"/>
      <w:r>
        <w:rPr>
          <w:u w:val="single"/>
        </w:rPr>
        <w:t>-20</w:t>
      </w:r>
      <w:r>
        <w:t xml:space="preserve">), and thus conclude that He does indeed exist.  This is known as “General” or “Natural Revelation.”  However, “General/Natural Revelation” is necessarily limited- it only informs us of God’s </w:t>
      </w:r>
      <w:r w:rsidR="00932043">
        <w:t xml:space="preserve">existence, power, and goodness.  It does not tell us how and in what ways we should respond to Him.  For this information, “Specific Revelation” is needed… and summarily provided by God through </w:t>
      </w:r>
      <w:r w:rsidR="00932043">
        <w:rPr>
          <w:i/>
        </w:rPr>
        <w:t>“</w:t>
      </w:r>
      <w:r w:rsidR="00932043" w:rsidRPr="00932043">
        <w:rPr>
          <w:i/>
        </w:rPr>
        <w:t xml:space="preserve">the </w:t>
      </w:r>
      <w:r w:rsidR="00932043">
        <w:rPr>
          <w:i/>
        </w:rPr>
        <w:t xml:space="preserve">gospel, for it is the power of God for salvation to ever one who believes, to the Jew first and also to the Greek,” </w:t>
      </w:r>
      <w:r w:rsidR="00932043">
        <w:rPr>
          <w:u w:val="single"/>
        </w:rPr>
        <w:t>Rom.1</w:t>
      </w:r>
      <w:proofErr w:type="gramStart"/>
      <w:r w:rsidR="00932043">
        <w:rPr>
          <w:u w:val="single"/>
        </w:rPr>
        <w:t>:16</w:t>
      </w:r>
      <w:proofErr w:type="gramEnd"/>
      <w:r w:rsidR="00932043">
        <w:t xml:space="preserve">.  Thus, </w:t>
      </w:r>
      <w:r w:rsidR="00932043">
        <w:rPr>
          <w:i/>
        </w:rPr>
        <w:t xml:space="preserve">“the gospel” </w:t>
      </w:r>
      <w:r w:rsidR="00932043">
        <w:t xml:space="preserve">supplies one who “believes in God” with the instructions necessary to live according this conviction.  Such highlights the distinction between merely “believing in God”- </w:t>
      </w:r>
      <w:r w:rsidR="00932043">
        <w:rPr>
          <w:i/>
        </w:rPr>
        <w:t xml:space="preserve">i.e. </w:t>
      </w:r>
      <w:r w:rsidR="00932043">
        <w:t>His existence</w:t>
      </w:r>
      <w:proofErr w:type="gramStart"/>
      <w:r w:rsidR="00932043">
        <w:t>,  and</w:t>
      </w:r>
      <w:proofErr w:type="gramEnd"/>
      <w:r w:rsidR="00932043">
        <w:t xml:space="preserve"> “believing God”- which is trusting His word/gospel sufficiently to obey Him.  Consider </w:t>
      </w:r>
      <w:r w:rsidR="00932043">
        <w:rPr>
          <w:u w:val="single"/>
        </w:rPr>
        <w:t>2Thess.2</w:t>
      </w:r>
      <w:proofErr w:type="gramStart"/>
      <w:r w:rsidR="00932043">
        <w:rPr>
          <w:u w:val="single"/>
        </w:rPr>
        <w:t>:10,12</w:t>
      </w:r>
      <w:proofErr w:type="gramEnd"/>
      <w:r w:rsidR="00932043">
        <w:t xml:space="preserve"> </w:t>
      </w:r>
      <w:r w:rsidR="004B5BFD">
        <w:t xml:space="preserve">in these regards where: those </w:t>
      </w:r>
      <w:r w:rsidR="004B5BFD">
        <w:rPr>
          <w:i/>
        </w:rPr>
        <w:t xml:space="preserve">“who did not receive the love truth” </w:t>
      </w:r>
      <w:r w:rsidR="004B5BFD">
        <w:t xml:space="preserve">perished, </w:t>
      </w:r>
      <w:r w:rsidR="004B5BFD">
        <w:rPr>
          <w:u w:val="single"/>
        </w:rPr>
        <w:t>v.10</w:t>
      </w:r>
      <w:r w:rsidR="004B5BFD">
        <w:t xml:space="preserve">; and those who similarly </w:t>
      </w:r>
      <w:r w:rsidR="004B5BFD">
        <w:rPr>
          <w:i/>
        </w:rPr>
        <w:t xml:space="preserve">“did not believe the truth” </w:t>
      </w:r>
      <w:r w:rsidR="004B5BFD">
        <w:t xml:space="preserve">of God’s words were condemned, </w:t>
      </w:r>
      <w:r w:rsidR="004B5BFD">
        <w:rPr>
          <w:u w:val="single"/>
        </w:rPr>
        <w:t>v.12</w:t>
      </w:r>
      <w:r w:rsidR="004B5BFD">
        <w:t xml:space="preserve">.  These were/are lost, not because they failed to “believe in God,” but because they failed to “believe God” regarding the instructions and consequences of His word, the gospel.  </w:t>
      </w:r>
    </w:p>
    <w:p w:rsidR="004B5BFD" w:rsidRDefault="004B5BFD" w:rsidP="001E13B3">
      <w:pPr>
        <w:spacing w:after="120"/>
      </w:pPr>
      <w:r>
        <w:t xml:space="preserve">Please note a </w:t>
      </w:r>
      <w:r w:rsidR="009E6439">
        <w:t>couple of</w:t>
      </w:r>
      <w:r>
        <w:t xml:space="preserve"> other passages </w:t>
      </w:r>
      <w:r w:rsidR="009E6439">
        <w:t>that</w:t>
      </w:r>
      <w:r>
        <w:t xml:space="preserve"> emphasize th</w:t>
      </w:r>
      <w:r w:rsidR="009E6439">
        <w:t xml:space="preserve">e importance of “believing God” enough to obey Him: </w:t>
      </w:r>
    </w:p>
    <w:p w:rsidR="004B5BFD" w:rsidRDefault="004B5BFD" w:rsidP="009E6439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 xml:space="preserve">“Even so Abraham believed God, and it was reckoned to Him as righteousness,” </w:t>
      </w:r>
      <w:r>
        <w:rPr>
          <w:u w:val="single"/>
        </w:rPr>
        <w:t>Gal.3</w:t>
      </w:r>
      <w:proofErr w:type="gramStart"/>
      <w:r>
        <w:rPr>
          <w:u w:val="single"/>
        </w:rPr>
        <w:t>:6</w:t>
      </w:r>
      <w:proofErr w:type="gramEnd"/>
      <w:r>
        <w:t xml:space="preserve">.  What does this mean?  </w:t>
      </w:r>
      <w:r>
        <w:rPr>
          <w:i/>
        </w:rPr>
        <w:t>“</w:t>
      </w:r>
      <w:r w:rsidR="009E6439">
        <w:rPr>
          <w:i/>
        </w:rPr>
        <w:t xml:space="preserve">By faith…Abraham </w:t>
      </w:r>
      <w:proofErr w:type="gramStart"/>
      <w:r w:rsidR="009E6439">
        <w:rPr>
          <w:i/>
        </w:rPr>
        <w:t>obeyed…,”</w:t>
      </w:r>
      <w:proofErr w:type="gramEnd"/>
      <w:r w:rsidR="009E6439">
        <w:rPr>
          <w:i/>
        </w:rPr>
        <w:t xml:space="preserve"> </w:t>
      </w:r>
      <w:r w:rsidR="009E6439">
        <w:rPr>
          <w:u w:val="single"/>
        </w:rPr>
        <w:t>Heb.11:8</w:t>
      </w:r>
      <w:r w:rsidR="009E6439">
        <w:t xml:space="preserve">.  He didn’t just “believe in God,” he “believed God” sufficiently to obey the instructions God provided. </w:t>
      </w:r>
    </w:p>
    <w:p w:rsidR="009E6439" w:rsidRDefault="009E6439" w:rsidP="009E6439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Titus 3:8</w:t>
      </w:r>
      <w:r>
        <w:t xml:space="preserve">, </w:t>
      </w:r>
      <w:r>
        <w:rPr>
          <w:i/>
        </w:rPr>
        <w:t xml:space="preserve">“This is a trustworthy statement, and concerning these things I want you to speak confidently, so that those who have believed God may be careful to engage in good deeds.  These things are good and profitable for men.”  </w:t>
      </w:r>
      <w:r>
        <w:t xml:space="preserve">Note again that “believing God” requires us to obey Him.  While merely “believing in God” provided no substantial benefit to those in </w:t>
      </w:r>
      <w:r>
        <w:rPr>
          <w:u w:val="single"/>
        </w:rPr>
        <w:t>Rom.1</w:t>
      </w:r>
      <w:proofErr w:type="gramStart"/>
      <w:r>
        <w:rPr>
          <w:u w:val="single"/>
        </w:rPr>
        <w:t>:21</w:t>
      </w:r>
      <w:proofErr w:type="gramEnd"/>
      <w:r>
        <w:rPr>
          <w:u w:val="single"/>
        </w:rPr>
        <w:t>-32</w:t>
      </w:r>
      <w:r>
        <w:t xml:space="preserve"> (because they did not “believe God” enough to obey Him), here in </w:t>
      </w:r>
      <w:r>
        <w:rPr>
          <w:u w:val="single"/>
        </w:rPr>
        <w:t>Titus 3:8</w:t>
      </w:r>
      <w:r>
        <w:t xml:space="preserve"> </w:t>
      </w:r>
      <w:r>
        <w:rPr>
          <w:i/>
        </w:rPr>
        <w:t xml:space="preserve">“believing God” </w:t>
      </w:r>
      <w:r>
        <w:t xml:space="preserve"> (and thus doing what He says) is said to be both </w:t>
      </w:r>
      <w:r>
        <w:rPr>
          <w:i/>
        </w:rPr>
        <w:t xml:space="preserve">“good and profitable.”  </w:t>
      </w:r>
    </w:p>
    <w:p w:rsidR="004B5BFD" w:rsidRPr="004B5BFD" w:rsidRDefault="0050359F" w:rsidP="001E13B3">
      <w:pPr>
        <w:spacing w:after="120"/>
      </w:pPr>
      <w:r>
        <w:t xml:space="preserve">We can look at the wonders of creation and discern the Creator- and thus “believe in God.”  But only through “believing God” regarding the promises of His word (the gospel of Jesus Christ) sufficiently to obey them do we achieve eternal salvation.  </w:t>
      </w: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  <w:bookmarkStart w:id="0" w:name="_GoBack"/>
      <w:bookmarkEnd w:id="0"/>
    </w:p>
    <w:sectPr w:rsidR="004B5BFD" w:rsidRPr="004B5BFD" w:rsidSect="0050359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E7F"/>
    <w:multiLevelType w:val="hybridMultilevel"/>
    <w:tmpl w:val="7DC0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B3"/>
    <w:rsid w:val="001E13B3"/>
    <w:rsid w:val="004679D7"/>
    <w:rsid w:val="004B5BFD"/>
    <w:rsid w:val="0050359F"/>
    <w:rsid w:val="00614F3A"/>
    <w:rsid w:val="00932043"/>
    <w:rsid w:val="009E6439"/>
    <w:rsid w:val="00AB6DA4"/>
    <w:rsid w:val="00D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532</Words>
  <Characters>3034</Characters>
  <Application>Microsoft Macintosh Word</Application>
  <DocSecurity>0</DocSecurity>
  <Lines>25</Lines>
  <Paragraphs>7</Paragraphs>
  <ScaleCrop>false</ScaleCrop>
  <Company>Southside Church of Christ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2021-10-20T14:27:00Z</dcterms:created>
  <dcterms:modified xsi:type="dcterms:W3CDTF">2021-10-20T15:27:00Z</dcterms:modified>
</cp:coreProperties>
</file>